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EC" w:rsidRDefault="00751AEC" w:rsidP="00751AEC">
      <w:pPr>
        <w:jc w:val="center"/>
        <w:rPr>
          <w:b/>
        </w:rPr>
      </w:pPr>
      <w:r w:rsidRPr="00751AEC">
        <w:rPr>
          <w:b/>
          <w:sz w:val="28"/>
        </w:rPr>
        <w:t>Creating Self-Authorship in Advising Interactions with ‘Drifting’ Students</w:t>
      </w:r>
    </w:p>
    <w:p w:rsidR="00751AEC" w:rsidRDefault="00751AEC" w:rsidP="00751AEC">
      <w:pPr>
        <w:jc w:val="center"/>
        <w:rPr>
          <w:b/>
        </w:rPr>
      </w:pPr>
      <w:r>
        <w:rPr>
          <w:b/>
        </w:rPr>
        <w:t>Presented by Megan Schaefer, Academic Success Coach, UNL</w:t>
      </w:r>
    </w:p>
    <w:p w:rsidR="00751AEC" w:rsidRDefault="00751AEC" w:rsidP="00751AEC">
      <w:pPr>
        <w:jc w:val="center"/>
        <w:rPr>
          <w:b/>
        </w:rPr>
      </w:pPr>
    </w:p>
    <w:p w:rsidR="0035678D" w:rsidRDefault="0035678D" w:rsidP="0035678D">
      <w:r w:rsidRPr="0035678D">
        <w:rPr>
          <w:b/>
        </w:rPr>
        <w:t>Self-Authorship</w:t>
      </w:r>
      <w:r>
        <w:t xml:space="preserve"> is moving from an external definition to an internal definition of belief system, identity, and relationships. It includes three dimensions and four phases</w:t>
      </w:r>
      <w:r w:rsidR="00751AEC">
        <w:t xml:space="preserve"> (Baxter </w:t>
      </w:r>
      <w:proofErr w:type="spellStart"/>
      <w:r w:rsidR="00751AEC">
        <w:t>Magolda</w:t>
      </w:r>
      <w:proofErr w:type="spellEnd"/>
      <w:r w:rsidR="00751AEC">
        <w:t>, 2001)</w:t>
      </w:r>
      <w:r>
        <w:t xml:space="preserve">. </w:t>
      </w:r>
    </w:p>
    <w:p w:rsidR="00751AEC" w:rsidRDefault="00751AEC" w:rsidP="0035678D"/>
    <w:p w:rsidR="00751AEC" w:rsidRDefault="00751AEC" w:rsidP="0035678D">
      <w:r>
        <w:t>Increased self-authorship is beneficial in advising relationships because it helps students increase their use of critical thinking to make choices, choose appropriate majors, and develop healthier relationships with diverse others (</w:t>
      </w:r>
      <w:proofErr w:type="spellStart"/>
      <w:r>
        <w:t>Pizzolato</w:t>
      </w:r>
      <w:proofErr w:type="spellEnd"/>
      <w:r>
        <w:t xml:space="preserve">, 2008). </w:t>
      </w:r>
    </w:p>
    <w:p w:rsidR="0035678D" w:rsidRDefault="00BC4AC3" w:rsidP="0035678D">
      <w:r w:rsidRPr="0035678D">
        <w:drawing>
          <wp:anchor distT="0" distB="0" distL="114300" distR="114300" simplePos="0" relativeHeight="251658240" behindDoc="1" locked="0" layoutInCell="1" allowOverlap="1" wp14:anchorId="254AA1FE" wp14:editId="3B3554C1">
            <wp:simplePos x="0" y="0"/>
            <wp:positionH relativeFrom="column">
              <wp:posOffset>428625</wp:posOffset>
            </wp:positionH>
            <wp:positionV relativeFrom="paragraph">
              <wp:posOffset>9525</wp:posOffset>
            </wp:positionV>
            <wp:extent cx="5095875" cy="2474439"/>
            <wp:effectExtent l="0" t="0" r="0" b="2540"/>
            <wp:wrapTight wrapText="bothSides">
              <wp:wrapPolygon edited="0">
                <wp:start x="0" y="0"/>
                <wp:lineTo x="0" y="21456"/>
                <wp:lineTo x="21479" y="21456"/>
                <wp:lineTo x="21479" y="0"/>
                <wp:lineTo x="0" y="0"/>
              </wp:wrapPolygon>
            </wp:wrapTight>
            <wp:docPr id="3074" name="Picture 2" descr="https://facultystaff.richmond.edu/~jboehman/images/self-autho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facultystaff.richmond.edu/~jboehman/images/self-authorsh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744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78D" w:rsidRDefault="0035678D" w:rsidP="00BC4AC3">
      <w:pPr>
        <w:jc w:val="center"/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BC4AC3" w:rsidRDefault="00BC4AC3" w:rsidP="00751AEC">
      <w:pPr>
        <w:ind w:left="720" w:hanging="720"/>
        <w:rPr>
          <w:sz w:val="18"/>
        </w:rPr>
      </w:pPr>
    </w:p>
    <w:p w:rsidR="00751AEC" w:rsidRPr="00F443D3" w:rsidRDefault="00751AEC" w:rsidP="00751AEC">
      <w:pPr>
        <w:ind w:left="720" w:hanging="720"/>
        <w:rPr>
          <w:sz w:val="16"/>
        </w:rPr>
      </w:pPr>
      <w:proofErr w:type="spellStart"/>
      <w:r w:rsidRPr="00F443D3">
        <w:rPr>
          <w:sz w:val="16"/>
        </w:rPr>
        <w:t>Boe</w:t>
      </w:r>
      <w:proofErr w:type="spellEnd"/>
      <w:r w:rsidRPr="00F443D3">
        <w:rPr>
          <w:sz w:val="16"/>
        </w:rPr>
        <w:t xml:space="preserve">, J. (2011, April 28). Who are you? Self-authorship defined [Web log comment]. Retrieved from: https://imjoeboe.wordpress.com/2011/04/28/self-authorship/ </w:t>
      </w:r>
    </w:p>
    <w:p w:rsidR="00751AEC" w:rsidRDefault="00751AEC" w:rsidP="0035678D"/>
    <w:p w:rsidR="00751AEC" w:rsidRDefault="00751AEC" w:rsidP="0035678D">
      <w:r>
        <w:rPr>
          <w:b/>
        </w:rPr>
        <w:t>Learning Partnerships Model</w:t>
      </w:r>
      <w:r w:rsidR="00BC4AC3">
        <w:rPr>
          <w:b/>
        </w:rPr>
        <w:t xml:space="preserve"> (LPM)</w:t>
      </w:r>
      <w:r>
        <w:rPr>
          <w:b/>
        </w:rPr>
        <w:t xml:space="preserve"> </w:t>
      </w:r>
      <w:r>
        <w:t>is a way to promote self-authorship by helping students listen to, and use, their internal voice</w:t>
      </w:r>
      <w:r w:rsidR="00BC4AC3">
        <w:t xml:space="preserve"> </w:t>
      </w:r>
      <w:r w:rsidR="00BC4AC3">
        <w:t xml:space="preserve">(Baxter </w:t>
      </w:r>
      <w:proofErr w:type="spellStart"/>
      <w:r w:rsidR="00BC4AC3">
        <w:t>Magolda</w:t>
      </w:r>
      <w:proofErr w:type="spellEnd"/>
      <w:r w:rsidR="00BC4AC3">
        <w:t xml:space="preserve"> &amp; King, 2004)</w:t>
      </w:r>
      <w:r>
        <w:t xml:space="preserve">. </w:t>
      </w:r>
      <w:r w:rsidR="00BC4AC3">
        <w:t xml:space="preserve">LPM is like a two-seat bicycle. We as advisors are on the seat behind the student, supporting movement forward, helping the balance, but not in charge of the destination. </w:t>
      </w:r>
    </w:p>
    <w:p w:rsidR="00BC4AC3" w:rsidRDefault="00BC4AC3" w:rsidP="0035678D"/>
    <w:p w:rsidR="00BC4AC3" w:rsidRDefault="00BC4AC3" w:rsidP="00BC4AC3">
      <w:pPr>
        <w:rPr>
          <w:i/>
        </w:rPr>
      </w:pPr>
      <w:r>
        <w:rPr>
          <w:i/>
        </w:rPr>
        <w:t>Three Assumptions to help students challenge their dependence on authority</w:t>
      </w:r>
    </w:p>
    <w:p w:rsidR="00BC4AC3" w:rsidRDefault="00BC4AC3" w:rsidP="00BC4AC3">
      <w:pPr>
        <w:pStyle w:val="ListParagraph"/>
        <w:numPr>
          <w:ilvl w:val="0"/>
          <w:numId w:val="1"/>
        </w:numPr>
      </w:pPr>
      <w:r>
        <w:t>Knowledge is complex and socially constructed</w:t>
      </w:r>
    </w:p>
    <w:p w:rsidR="00BC4AC3" w:rsidRDefault="00BC4AC3" w:rsidP="00BC4AC3">
      <w:pPr>
        <w:pStyle w:val="ListParagraph"/>
        <w:numPr>
          <w:ilvl w:val="0"/>
          <w:numId w:val="1"/>
        </w:numPr>
      </w:pPr>
      <w:r>
        <w:t>An internal sense of self is central to knowledge construction</w:t>
      </w:r>
    </w:p>
    <w:p w:rsidR="00BC4AC3" w:rsidRDefault="00BC4AC3" w:rsidP="00BC4AC3">
      <w:pPr>
        <w:pStyle w:val="ListParagraph"/>
        <w:numPr>
          <w:ilvl w:val="0"/>
          <w:numId w:val="1"/>
        </w:numPr>
      </w:pPr>
      <w:r>
        <w:t xml:space="preserve">Expertise and authority are shared in the mutual construction of knowledge </w:t>
      </w:r>
    </w:p>
    <w:p w:rsidR="00BC4AC3" w:rsidRDefault="00BC4AC3" w:rsidP="00BC4AC3"/>
    <w:p w:rsidR="00BC4AC3" w:rsidRDefault="00BC4AC3" w:rsidP="00BC4AC3">
      <w:r>
        <w:rPr>
          <w:i/>
        </w:rPr>
        <w:t>Three Principles to foster self-authorship</w:t>
      </w:r>
    </w:p>
    <w:p w:rsidR="00BC4AC3" w:rsidRDefault="00BC4AC3" w:rsidP="00BC4AC3">
      <w:pPr>
        <w:pStyle w:val="ListParagraph"/>
        <w:numPr>
          <w:ilvl w:val="0"/>
          <w:numId w:val="2"/>
        </w:numPr>
      </w:pPr>
      <w:r>
        <w:t>Validate learners as knowers</w:t>
      </w:r>
    </w:p>
    <w:p w:rsidR="00BC4AC3" w:rsidRDefault="00BC4AC3" w:rsidP="00BC4AC3">
      <w:pPr>
        <w:pStyle w:val="ListParagraph"/>
        <w:numPr>
          <w:ilvl w:val="0"/>
          <w:numId w:val="2"/>
        </w:numPr>
      </w:pPr>
      <w:r>
        <w:t>Situate learning in learners’ experience</w:t>
      </w:r>
    </w:p>
    <w:p w:rsidR="00BC4AC3" w:rsidRDefault="00BC4AC3" w:rsidP="00BC4AC3">
      <w:pPr>
        <w:pStyle w:val="ListParagraph"/>
        <w:numPr>
          <w:ilvl w:val="0"/>
          <w:numId w:val="2"/>
        </w:numPr>
      </w:pPr>
      <w:r>
        <w:t>Define learning as mutually constructing meaning</w:t>
      </w:r>
    </w:p>
    <w:p w:rsidR="00BC4AC3" w:rsidRDefault="00BC4AC3" w:rsidP="00BC4AC3"/>
    <w:p w:rsidR="00BC4AC3" w:rsidRDefault="00BC4AC3" w:rsidP="00BC4AC3">
      <w:r>
        <w:rPr>
          <w:u w:val="single"/>
        </w:rPr>
        <w:t>Validate learners as knowers</w:t>
      </w:r>
    </w:p>
    <w:p w:rsidR="00BC4AC3" w:rsidRPr="00BC4AC3" w:rsidRDefault="00F443D3" w:rsidP="00BC4A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2609851</wp:posOffset>
                </wp:positionH>
                <wp:positionV relativeFrom="paragraph">
                  <wp:posOffset>58420</wp:posOffset>
                </wp:positionV>
                <wp:extent cx="0" cy="1028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2B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4.6pt" to="205.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="00BC4AC3">
        <w:t xml:space="preserve">HOW? </w:t>
      </w:r>
      <w:r w:rsidR="00BC4AC3">
        <w:tab/>
      </w:r>
      <w:r w:rsidR="00BC4AC3">
        <w:tab/>
      </w:r>
      <w:r w:rsidR="00BC4AC3">
        <w:tab/>
      </w:r>
      <w:r w:rsidR="00BC4AC3">
        <w:tab/>
      </w:r>
      <w:r w:rsidR="00BC4AC3">
        <w:tab/>
      </w:r>
      <w:r w:rsidR="00BC4AC3">
        <w:tab/>
        <w:t>EXAMPLES</w:t>
      </w:r>
    </w:p>
    <w:p w:rsidR="00BC4AC3" w:rsidRDefault="00BC4AC3"/>
    <w:p w:rsidR="00BC4AC3" w:rsidRDefault="00BC4AC3"/>
    <w:p w:rsidR="00BC4AC3" w:rsidRDefault="00BC4AC3"/>
    <w:p w:rsidR="00BC4AC3" w:rsidRDefault="00BC4AC3"/>
    <w:p w:rsidR="00BC4AC3" w:rsidRDefault="00F443D3">
      <w:r>
        <w:rPr>
          <w:u w:val="single"/>
        </w:rPr>
        <w:lastRenderedPageBreak/>
        <w:t>Situate</w:t>
      </w:r>
      <w:r w:rsidR="00BC4AC3">
        <w:rPr>
          <w:u w:val="single"/>
        </w:rPr>
        <w:t xml:space="preserve"> learning in learners’ experience</w:t>
      </w:r>
    </w:p>
    <w:p w:rsidR="00BC4AC3" w:rsidRDefault="00F443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337D0" wp14:editId="1D80F6F7">
                <wp:simplePos x="0" y="0"/>
                <wp:positionH relativeFrom="column">
                  <wp:posOffset>2686050</wp:posOffset>
                </wp:positionH>
                <wp:positionV relativeFrom="paragraph">
                  <wp:posOffset>10160</wp:posOffset>
                </wp:positionV>
                <wp:extent cx="0" cy="9810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CE59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.8pt" to="211.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  <w:r w:rsidR="00BC4AC3">
        <w:t xml:space="preserve">HOW? </w:t>
      </w:r>
      <w:r w:rsidR="00BC4AC3">
        <w:tab/>
      </w:r>
      <w:r w:rsidR="00BC4AC3">
        <w:tab/>
      </w:r>
      <w:r w:rsidR="00BC4AC3">
        <w:tab/>
      </w:r>
      <w:r w:rsidR="00BC4AC3">
        <w:tab/>
      </w:r>
      <w:r w:rsidR="00BC4AC3">
        <w:tab/>
      </w:r>
      <w:r w:rsidR="00BC4AC3">
        <w:tab/>
        <w:t>EXAMPLES</w:t>
      </w:r>
    </w:p>
    <w:p w:rsidR="00BC4AC3" w:rsidRDefault="00BC4AC3"/>
    <w:p w:rsidR="00BC4AC3" w:rsidRDefault="00BC4AC3"/>
    <w:p w:rsidR="00BC4AC3" w:rsidRDefault="00BC4AC3"/>
    <w:p w:rsidR="00BC4AC3" w:rsidRDefault="00BC4AC3"/>
    <w:p w:rsidR="00BC4AC3" w:rsidRDefault="00BC4AC3"/>
    <w:p w:rsidR="00F443D3" w:rsidRDefault="00F443D3">
      <w:pPr>
        <w:rPr>
          <w:u w:val="single"/>
        </w:rPr>
      </w:pPr>
    </w:p>
    <w:p w:rsidR="00BC4AC3" w:rsidRDefault="00F443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95902" wp14:editId="35687174">
                <wp:simplePos x="0" y="0"/>
                <wp:positionH relativeFrom="column">
                  <wp:posOffset>2705100</wp:posOffset>
                </wp:positionH>
                <wp:positionV relativeFrom="paragraph">
                  <wp:posOffset>169545</wp:posOffset>
                </wp:positionV>
                <wp:extent cx="0" cy="971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E19E7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.35pt" to="21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 w:rsidR="00BC4AC3">
        <w:rPr>
          <w:u w:val="single"/>
        </w:rPr>
        <w:t>Define learning as mutually constructing meaning</w:t>
      </w:r>
    </w:p>
    <w:p w:rsidR="00BC4AC3" w:rsidRDefault="00BC4AC3">
      <w:r>
        <w:t>HOW?</w:t>
      </w:r>
      <w:r>
        <w:tab/>
      </w:r>
      <w:r>
        <w:tab/>
      </w:r>
      <w:r>
        <w:tab/>
      </w:r>
      <w:r>
        <w:tab/>
      </w:r>
      <w:r>
        <w:tab/>
      </w:r>
      <w:r>
        <w:tab/>
        <w:t>EXAMPLES</w:t>
      </w:r>
    </w:p>
    <w:p w:rsidR="00BC4AC3" w:rsidRDefault="00BC4AC3"/>
    <w:p w:rsidR="00BC4AC3" w:rsidRDefault="00BC4AC3"/>
    <w:p w:rsidR="00BC4AC3" w:rsidRDefault="00BC4AC3"/>
    <w:p w:rsidR="00BC4AC3" w:rsidRDefault="00BC4AC3"/>
    <w:p w:rsidR="00BC4AC3" w:rsidRPr="00BC4AC3" w:rsidRDefault="00BC4AC3"/>
    <w:p w:rsidR="00BC4AC3" w:rsidRDefault="00BC4AC3"/>
    <w:p w:rsidR="00F443D3" w:rsidRPr="00F443D3" w:rsidRDefault="00F443D3">
      <w:pPr>
        <w:rPr>
          <w:b/>
        </w:rPr>
      </w:pPr>
      <w:r>
        <w:rPr>
          <w:b/>
        </w:rPr>
        <w:t xml:space="preserve">Taking your learning with you: </w:t>
      </w:r>
    </w:p>
    <w:p w:rsidR="00BC4AC3" w:rsidRDefault="00BC4AC3" w:rsidP="00BC4AC3">
      <w:pPr>
        <w:pStyle w:val="ListParagraph"/>
        <w:numPr>
          <w:ilvl w:val="0"/>
          <w:numId w:val="3"/>
        </w:numPr>
        <w:ind w:left="360"/>
      </w:pPr>
      <w:r>
        <w:t>W</w:t>
      </w:r>
      <w:r w:rsidR="0035678D">
        <w:t xml:space="preserve">hat are you already doing to promote self-authorship? </w:t>
      </w:r>
    </w:p>
    <w:p w:rsidR="00BC4AC3" w:rsidRDefault="00BC4AC3" w:rsidP="00BC4AC3">
      <w:pPr>
        <w:pStyle w:val="ListParagraph"/>
        <w:ind w:left="360"/>
      </w:pPr>
    </w:p>
    <w:p w:rsidR="00BC4AC3" w:rsidRDefault="00BC4AC3" w:rsidP="00BC4AC3">
      <w:pPr>
        <w:pStyle w:val="ListParagraph"/>
        <w:ind w:left="360"/>
      </w:pPr>
    </w:p>
    <w:p w:rsidR="00BC4AC3" w:rsidRDefault="00BC4AC3" w:rsidP="00BC4AC3">
      <w:pPr>
        <w:pStyle w:val="ListParagraph"/>
        <w:ind w:left="360"/>
      </w:pPr>
    </w:p>
    <w:p w:rsidR="00BC4AC3" w:rsidRDefault="0035678D" w:rsidP="00BC4AC3">
      <w:pPr>
        <w:pStyle w:val="ListParagraph"/>
        <w:numPr>
          <w:ilvl w:val="0"/>
          <w:numId w:val="3"/>
        </w:numPr>
        <w:ind w:left="360"/>
      </w:pPr>
      <w:r>
        <w:t xml:space="preserve">What is one thing you want to start doing? </w:t>
      </w:r>
    </w:p>
    <w:p w:rsidR="00BC4AC3" w:rsidRDefault="00BC4AC3" w:rsidP="00BC4AC3"/>
    <w:p w:rsidR="00BC4AC3" w:rsidRDefault="00BC4AC3" w:rsidP="00BC4AC3"/>
    <w:p w:rsidR="00BC4AC3" w:rsidRDefault="00BC4AC3" w:rsidP="00BC4AC3"/>
    <w:p w:rsidR="0035678D" w:rsidRDefault="0035678D" w:rsidP="00BC4AC3">
      <w:pPr>
        <w:pStyle w:val="ListParagraph"/>
        <w:numPr>
          <w:ilvl w:val="0"/>
          <w:numId w:val="3"/>
        </w:numPr>
        <w:ind w:left="360"/>
      </w:pPr>
      <w:r>
        <w:t xml:space="preserve">How will you implement this item and why? </w:t>
      </w:r>
    </w:p>
    <w:p w:rsidR="0035678D" w:rsidRDefault="0035678D" w:rsidP="0035678D"/>
    <w:p w:rsidR="0035678D" w:rsidRDefault="0035678D" w:rsidP="0035678D"/>
    <w:p w:rsidR="0035678D" w:rsidRDefault="0035678D" w:rsidP="00BC4AC3"/>
    <w:p w:rsidR="00F443D3" w:rsidRDefault="00F443D3" w:rsidP="00BC4AC3"/>
    <w:p w:rsidR="00F443D3" w:rsidRDefault="00F443D3" w:rsidP="00BC4AC3">
      <w:bookmarkStart w:id="0" w:name="_GoBack"/>
      <w:bookmarkEnd w:id="0"/>
    </w:p>
    <w:p w:rsidR="005E62FD" w:rsidRDefault="0035678D" w:rsidP="0035678D">
      <w:pPr>
        <w:jc w:val="center"/>
      </w:pPr>
      <w:r>
        <w:t>References</w:t>
      </w:r>
    </w:p>
    <w:p w:rsidR="0035678D" w:rsidRDefault="0035678D" w:rsidP="0035678D">
      <w:pPr>
        <w:jc w:val="center"/>
      </w:pPr>
    </w:p>
    <w:p w:rsidR="00BC4AC3" w:rsidRPr="0035678D" w:rsidRDefault="0035678D" w:rsidP="00F443D3">
      <w:pPr>
        <w:ind w:left="720" w:hanging="720"/>
      </w:pPr>
      <w:r w:rsidRPr="0035678D">
        <w:t xml:space="preserve">Baxter </w:t>
      </w:r>
      <w:proofErr w:type="spellStart"/>
      <w:r w:rsidRPr="0035678D">
        <w:t>Magolda</w:t>
      </w:r>
      <w:proofErr w:type="spellEnd"/>
      <w:r w:rsidRPr="0035678D">
        <w:t xml:space="preserve">, M. (2001). </w:t>
      </w:r>
      <w:r w:rsidRPr="0035678D">
        <w:rPr>
          <w:i/>
          <w:iCs/>
        </w:rPr>
        <w:t xml:space="preserve">Making their own way: Narratives for transforming higher education to promote self-development. </w:t>
      </w:r>
      <w:r w:rsidRPr="0035678D">
        <w:t xml:space="preserve">Sterling, VA: Stylus Publishing. </w:t>
      </w:r>
    </w:p>
    <w:p w:rsidR="00BC4AC3" w:rsidRPr="0035678D" w:rsidRDefault="0035678D" w:rsidP="00F443D3">
      <w:pPr>
        <w:ind w:left="720" w:hanging="720"/>
      </w:pPr>
      <w:r w:rsidRPr="0035678D">
        <w:t xml:space="preserve">Baxter </w:t>
      </w:r>
      <w:proofErr w:type="spellStart"/>
      <w:r w:rsidRPr="0035678D">
        <w:t>Magolda</w:t>
      </w:r>
      <w:proofErr w:type="spellEnd"/>
      <w:r w:rsidRPr="0035678D">
        <w:t xml:space="preserve">, M. B., &amp; King, P. M. (2004). </w:t>
      </w:r>
      <w:r w:rsidRPr="0035678D">
        <w:rPr>
          <w:i/>
          <w:iCs/>
        </w:rPr>
        <w:t xml:space="preserve">Learning partnerships: Theory and models of practice to educate for self-authorship. </w:t>
      </w:r>
      <w:r w:rsidRPr="0035678D">
        <w:t xml:space="preserve">Sterling, VA: Stylus. </w:t>
      </w:r>
    </w:p>
    <w:p w:rsidR="00BC4AC3" w:rsidRPr="0035678D" w:rsidRDefault="0035678D" w:rsidP="00F443D3">
      <w:pPr>
        <w:ind w:left="720" w:hanging="720"/>
      </w:pPr>
      <w:proofErr w:type="spellStart"/>
      <w:r w:rsidRPr="0035678D">
        <w:t>Boe</w:t>
      </w:r>
      <w:proofErr w:type="spellEnd"/>
      <w:r w:rsidRPr="0035678D">
        <w:t xml:space="preserve">, J. (2011, April 28). Who are you? Self-authorship defined [Web log comment]. Retrieved from: https://imjoeboe.wordpress.com/2011/04/28/self-authorship/ </w:t>
      </w:r>
    </w:p>
    <w:p w:rsidR="00BC4AC3" w:rsidRPr="0035678D" w:rsidRDefault="0035678D" w:rsidP="00F443D3">
      <w:pPr>
        <w:ind w:left="720" w:hanging="720"/>
      </w:pPr>
      <w:r w:rsidRPr="0035678D">
        <w:t xml:space="preserve">Davidson, D. L. (2011). Teacher Tip #2: Self-Authorship &amp; the Learning Partnerships Model. </w:t>
      </w:r>
      <w:r w:rsidRPr="0035678D">
        <w:rPr>
          <w:i/>
          <w:iCs/>
        </w:rPr>
        <w:t xml:space="preserve">Teaching &amp; Learning Enhancement Center Teaching Tips. </w:t>
      </w:r>
      <w:r w:rsidRPr="0035678D">
        <w:t xml:space="preserve">Bloomsburg, PA: Bloomsburg University. </w:t>
      </w:r>
    </w:p>
    <w:p w:rsidR="00BC4AC3" w:rsidRPr="0035678D" w:rsidRDefault="0035678D" w:rsidP="00F443D3">
      <w:pPr>
        <w:ind w:left="720" w:hanging="720"/>
      </w:pPr>
      <w:proofErr w:type="spellStart"/>
      <w:r w:rsidRPr="0035678D">
        <w:t>Pizzolato</w:t>
      </w:r>
      <w:proofErr w:type="spellEnd"/>
      <w:r w:rsidRPr="0035678D">
        <w:t xml:space="preserve">, J. E. (2006). Complex partnerships: Self-authorship and provocative academic advising practices. </w:t>
      </w:r>
      <w:r w:rsidRPr="0035678D">
        <w:rPr>
          <w:i/>
          <w:iCs/>
        </w:rPr>
        <w:t xml:space="preserve">NACADA Journal, 26(1), </w:t>
      </w:r>
      <w:r w:rsidRPr="0035678D">
        <w:t xml:space="preserve">32-45. </w:t>
      </w:r>
    </w:p>
    <w:p w:rsidR="0035678D" w:rsidRDefault="0035678D" w:rsidP="00F443D3">
      <w:pPr>
        <w:ind w:left="720" w:hanging="720"/>
      </w:pPr>
      <w:proofErr w:type="spellStart"/>
      <w:r w:rsidRPr="0035678D">
        <w:t>Pizzolato</w:t>
      </w:r>
      <w:proofErr w:type="spellEnd"/>
      <w:r w:rsidRPr="0035678D">
        <w:t xml:space="preserve">, J. E. (2008). Advisor, teacher, </w:t>
      </w:r>
      <w:proofErr w:type="gramStart"/>
      <w:r w:rsidRPr="0035678D">
        <w:t>partner</w:t>
      </w:r>
      <w:proofErr w:type="gramEnd"/>
      <w:r w:rsidRPr="0035678D">
        <w:t>: Using the learning partnerships model to reshape academic advising. </w:t>
      </w:r>
      <w:r w:rsidRPr="0035678D">
        <w:rPr>
          <w:i/>
          <w:iCs/>
        </w:rPr>
        <w:t>About Campus</w:t>
      </w:r>
      <w:r w:rsidRPr="0035678D">
        <w:t>, </w:t>
      </w:r>
      <w:r w:rsidRPr="0035678D">
        <w:rPr>
          <w:i/>
          <w:iCs/>
        </w:rPr>
        <w:t>13</w:t>
      </w:r>
      <w:r w:rsidRPr="0035678D">
        <w:t>(1), 18-25. doi:10.1002/abc.243</w:t>
      </w:r>
    </w:p>
    <w:sectPr w:rsidR="003567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DF" w:rsidRDefault="00EB47DF" w:rsidP="0035678D">
      <w:r>
        <w:separator/>
      </w:r>
    </w:p>
  </w:endnote>
  <w:endnote w:type="continuationSeparator" w:id="0">
    <w:p w:rsidR="00EB47DF" w:rsidRDefault="00EB47DF" w:rsidP="0035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DF" w:rsidRDefault="00EB47DF" w:rsidP="0035678D">
      <w:r>
        <w:separator/>
      </w:r>
    </w:p>
  </w:footnote>
  <w:footnote w:type="continuationSeparator" w:id="0">
    <w:p w:rsidR="00EB47DF" w:rsidRDefault="00EB47DF" w:rsidP="0035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8D" w:rsidRDefault="00BC4AC3">
    <w:pPr>
      <w:pStyle w:val="Header"/>
    </w:pPr>
    <w:r>
      <w:t>AAA Conference UNL</w:t>
    </w:r>
    <w:r w:rsidR="0035678D">
      <w:t xml:space="preserve"> February 2015</w:t>
    </w:r>
    <w:r w:rsidR="0035678D">
      <w:tab/>
    </w:r>
    <w:r w:rsidR="0035678D">
      <w:tab/>
      <w:t>Creating Self-Authorship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4825"/>
    <w:multiLevelType w:val="hybridMultilevel"/>
    <w:tmpl w:val="9A48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FB0"/>
    <w:multiLevelType w:val="hybridMultilevel"/>
    <w:tmpl w:val="7012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97BAB"/>
    <w:multiLevelType w:val="hybridMultilevel"/>
    <w:tmpl w:val="A3F4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D"/>
    <w:rsid w:val="000E3BFE"/>
    <w:rsid w:val="0035678D"/>
    <w:rsid w:val="005E62FD"/>
    <w:rsid w:val="00751AEC"/>
    <w:rsid w:val="00BC4AC3"/>
    <w:rsid w:val="00EB47DF"/>
    <w:rsid w:val="00F4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E48C3-B719-47CB-A70E-AB28B26E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78D"/>
  </w:style>
  <w:style w:type="paragraph" w:styleId="Footer">
    <w:name w:val="footer"/>
    <w:basedOn w:val="Normal"/>
    <w:link w:val="FooterChar"/>
    <w:uiPriority w:val="99"/>
    <w:unhideWhenUsed/>
    <w:rsid w:val="0035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78D"/>
  </w:style>
  <w:style w:type="character" w:styleId="Hyperlink">
    <w:name w:val="Hyperlink"/>
    <w:basedOn w:val="DefaultParagraphFont"/>
    <w:uiPriority w:val="99"/>
    <w:unhideWhenUsed/>
    <w:rsid w:val="00BC4A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Schaefer</dc:creator>
  <cp:keywords/>
  <dc:description/>
  <cp:lastModifiedBy>Megan Schaefer</cp:lastModifiedBy>
  <cp:revision>1</cp:revision>
  <cp:lastPrinted>2015-02-22T23:39:00Z</cp:lastPrinted>
  <dcterms:created xsi:type="dcterms:W3CDTF">2015-02-22T23:05:00Z</dcterms:created>
  <dcterms:modified xsi:type="dcterms:W3CDTF">2015-02-22T23:48:00Z</dcterms:modified>
</cp:coreProperties>
</file>